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6521" w:leader="none"/>
        </w:tabs>
        <w:spacing w:lineRule="auto" w:line="276" w:before="119" w:after="119"/>
        <w:ind w:left="0" w:right="0" w:hanging="0"/>
        <w:jc w:val="center"/>
        <w:rPr>
          <w:u w:val="none"/>
        </w:rPr>
      </w:pPr>
      <w:r>
        <w:rPr>
          <w:rFonts w:eastAsia="Arial" w:cs="Arial" w:ascii="Arial" w:hAnsi="Arial"/>
          <w:b/>
          <w:bCs/>
          <w:sz w:val="20"/>
          <w:szCs w:val="20"/>
          <w:u w:val="none"/>
        </w:rPr>
        <w:t>ANEXO V</w:t>
      </w:r>
      <w:r>
        <w:rPr>
          <w:rFonts w:eastAsia="Arial" w:cs="Arial" w:ascii="Arial" w:hAnsi="Arial"/>
          <w:b/>
          <w:bCs/>
          <w:sz w:val="20"/>
          <w:szCs w:val="20"/>
          <w:u w:val="none"/>
        </w:rPr>
        <w:t>I</w:t>
      </w:r>
      <w:r>
        <w:rPr>
          <w:rFonts w:eastAsia="Arial" w:cs="Arial" w:ascii="Arial" w:hAnsi="Arial"/>
          <w:b/>
          <w:bCs/>
          <w:sz w:val="20"/>
          <w:szCs w:val="20"/>
          <w:u w:val="none"/>
        </w:rPr>
        <w:t xml:space="preserve"> DO EDITAL</w:t>
      </w:r>
    </w:p>
    <w:p>
      <w:pPr>
        <w:pStyle w:val="Normal"/>
        <w:tabs>
          <w:tab w:val="clear" w:pos="708"/>
          <w:tab w:val="left" w:pos="6521" w:leader="none"/>
        </w:tabs>
        <w:spacing w:lineRule="auto" w:line="276" w:before="119" w:after="119"/>
        <w:ind w:left="0" w:right="0" w:hanging="0"/>
        <w:jc w:val="center"/>
        <w:rPr>
          <w:rFonts w:ascii="Arial" w:hAnsi="Arial" w:eastAsia="Arial" w:cs="Arial"/>
          <w:b/>
          <w:bCs/>
          <w:sz w:val="20"/>
          <w:szCs w:val="20"/>
        </w:rPr>
      </w:pPr>
      <w:r>
        <w:rPr>
          <w:rFonts w:eastAsia="Arial" w:cs="Arial" w:ascii="Arial" w:hAnsi="Arial"/>
          <w:b/>
          <w:bCs/>
          <w:sz w:val="20"/>
          <w:szCs w:val="20"/>
        </w:rPr>
      </w:r>
    </w:p>
    <w:p>
      <w:pPr>
        <w:pStyle w:val="Normal"/>
        <w:tabs>
          <w:tab w:val="clear" w:pos="708"/>
          <w:tab w:val="left" w:pos="6521" w:leader="none"/>
        </w:tabs>
        <w:spacing w:lineRule="auto" w:line="276" w:before="119" w:after="119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b/>
          <w:bCs/>
          <w:sz w:val="20"/>
          <w:szCs w:val="20"/>
        </w:rPr>
        <w:t>TERMO DE CONCILIAÇÃO JUDICIAL FIRMADO ENTRE O MINISTÉRIO PÚBLICO DO TRABALHO E A UNIÃO</w:t>
      </w:r>
    </w:p>
    <w:p>
      <w:pPr>
        <w:pStyle w:val="WW-Corpodetexto2"/>
        <w:tabs>
          <w:tab w:val="clear" w:pos="708"/>
          <w:tab w:val="left" w:pos="1724" w:leader="none"/>
        </w:tabs>
        <w:spacing w:lineRule="auto" w:line="276" w:before="119" w:after="119"/>
        <w:ind w:left="0" w:right="0" w:hanging="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WW-Corpodetexto2"/>
        <w:tabs>
          <w:tab w:val="clear" w:pos="708"/>
          <w:tab w:val="left" w:pos="1724" w:leader="none"/>
        </w:tabs>
        <w:spacing w:lineRule="auto" w:line="276" w:before="119" w:after="119"/>
        <w:ind w:left="0" w:right="0" w:hanging="0"/>
        <w:jc w:val="center"/>
        <w:rPr>
          <w:rFonts w:ascii="Arial" w:hAnsi="Arial" w:eastAsia="Arial" w:cs="Arial"/>
          <w:b/>
          <w:bCs/>
          <w:sz w:val="20"/>
          <w:szCs w:val="20"/>
        </w:rPr>
      </w:pPr>
      <w:r>
        <w:rPr>
          <w:rFonts w:eastAsia="Arial" w:cs="Arial" w:ascii="Arial" w:hAnsi="Arial"/>
          <w:b/>
          <w:bCs/>
          <w:sz w:val="20"/>
          <w:szCs w:val="20"/>
        </w:rPr>
      </w:r>
    </w:p>
    <w:p>
      <w:pPr>
        <w:pStyle w:val="Normal"/>
        <w:tabs>
          <w:tab w:val="clear" w:pos="708"/>
          <w:tab w:val="left" w:pos="1724" w:leader="none"/>
        </w:tabs>
        <w:spacing w:lineRule="auto" w:line="276" w:before="119" w:after="119"/>
        <w:ind w:left="0" w:right="0" w:hanging="0"/>
        <w:jc w:val="both"/>
        <w:rPr/>
      </w:pPr>
      <w:r>
        <w:rPr>
          <w:rStyle w:val="Fontepargpadro"/>
          <w:rFonts w:eastAsia="Arial" w:cs="Arial" w:ascii="Arial" w:hAnsi="Arial"/>
          <w:sz w:val="20"/>
          <w:szCs w:val="20"/>
        </w:rPr>
        <w:t xml:space="preserve">O </w:t>
      </w:r>
      <w:r>
        <w:rPr>
          <w:rStyle w:val="Fontepargpadro"/>
          <w:rFonts w:eastAsia="Arial" w:cs="Arial" w:ascii="Arial" w:hAnsi="Arial"/>
          <w:b w:val="false"/>
          <w:bCs w:val="false"/>
          <w:sz w:val="20"/>
          <w:szCs w:val="20"/>
        </w:rPr>
        <w:t>MINISTÉRIO PÚBLICO DO TRABALHO</w:t>
      </w:r>
      <w:r>
        <w:rPr>
          <w:rStyle w:val="Fontepargpadro"/>
          <w:rFonts w:eastAsia="Arial" w:cs="Arial" w:ascii="Arial" w:hAnsi="Arial"/>
          <w:sz w:val="20"/>
          <w:szCs w:val="20"/>
        </w:rPr>
        <w:t>, neste ato representado pelo Procurador-Geral do Trabalho, Dr. Guilherme Mastrichi Basso, pela Vice-Procuradora-Geral do Trabalho, Dra. Guiomar Rechia Gomes, pelo Procurador-Chefe da PRT da 10ª Região, Dr. Brasilino Santos Ramos e pelo Procurador do Trabalho Dr. Fábio Leal Cardoso, e a UNIÃO, neste ato representada pelo Procurador-Geral da União, Dr. Moacir Antonio da Silva Machado, pela Sub Procuradora Regional da União - 1ª Região, Dra. Helia Maria de Oliveira Bettero e pelo Advogado da União, Dr. Mário Luiz Guerreiro;</w:t>
      </w:r>
    </w:p>
    <w:p>
      <w:pPr>
        <w:pStyle w:val="Normal"/>
        <w:tabs>
          <w:tab w:val="clear" w:pos="708"/>
          <w:tab w:val="left" w:pos="1724" w:leader="none"/>
        </w:tabs>
        <w:spacing w:lineRule="auto" w:line="276" w:before="119" w:after="119"/>
        <w:ind w:left="0" w:right="0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1724" w:leader="none"/>
        </w:tabs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CONSIDERANDO que toda relação jurídica de trabalho cuja prestação laboral não eventual seja ofertada pessoalmente pelo obreiro, em estado de subordinação e mediante contraprestação pecuniária, será regida obrigatoriamente pela Consolidação das Leis do Trabalho ou por estatuto próprio, quando se tratar de relação de trabalho de natureza estatutária, com a Administração Pública;</w:t>
      </w:r>
    </w:p>
    <w:p>
      <w:pPr>
        <w:pStyle w:val="Normal"/>
        <w:tabs>
          <w:tab w:val="clear" w:pos="708"/>
          <w:tab w:val="left" w:pos="1724" w:leader="none"/>
        </w:tabs>
        <w:spacing w:lineRule="auto" w:line="276" w:before="119" w:after="119"/>
        <w:ind w:left="0" w:right="0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1724" w:leader="none"/>
        </w:tabs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CONSIDERANDO que a legislação consolidada em seu ARTIGO 9º, comina de nulidade absoluta todos os atos praticados com o intuito de desvirtuar, impedir ou fraudar a aplicação da lei trabalhista;</w:t>
      </w:r>
    </w:p>
    <w:p>
      <w:pPr>
        <w:pStyle w:val="Normal"/>
        <w:tabs>
          <w:tab w:val="clear" w:pos="708"/>
          <w:tab w:val="left" w:pos="1724" w:leader="none"/>
        </w:tabs>
        <w:spacing w:lineRule="auto" w:line="276" w:before="119" w:after="119"/>
        <w:ind w:left="0" w:right="0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1724" w:leader="none"/>
        </w:tabs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CONSIDERANDO que as sociedades cooperativas, segundo a Lei n. 5.764, de 16.12.1971, ARTIGO 4º, "(...) são sociedades de pessoas, com forma e natureza jurídica próprias, de natureza civil, não sujeitas à falência, constituídas para prestar serviços aos associados".</w:t>
      </w:r>
    </w:p>
    <w:p>
      <w:pPr>
        <w:pStyle w:val="Normal"/>
        <w:tabs>
          <w:tab w:val="clear" w:pos="708"/>
          <w:tab w:val="left" w:pos="1724" w:leader="none"/>
        </w:tabs>
        <w:spacing w:lineRule="auto" w:line="276" w:before="119" w:after="119"/>
        <w:ind w:left="0" w:right="0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1724" w:leader="none"/>
        </w:tabs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CONSIDERANDO que as cooperativas podem prestar serviços a não associados somente em caráter excepcional e desde que tal faculdade atenda aos objetivos sociais previstos na sua norma estatutária, (ARTIGO 86, da Lei n. 5.764, de 16.12.1971), aspecto legal que revela a patente impossibilidade jurídica das cooperativas funcionarem como agências de locação de mão-de-obra terceirizada;</w:t>
      </w:r>
    </w:p>
    <w:p>
      <w:pPr>
        <w:pStyle w:val="Normal"/>
        <w:tabs>
          <w:tab w:val="clear" w:pos="708"/>
          <w:tab w:val="left" w:pos="1724" w:leader="none"/>
        </w:tabs>
        <w:spacing w:lineRule="auto" w:line="276" w:before="119" w:after="119"/>
        <w:ind w:left="0" w:right="0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1724" w:leader="none"/>
        </w:tabs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CONSIDERANDO que a administração pública está inexoravelmente jungida ao princípio da legalidade, e que a prática do merchandage é vedada pelo ARTIGO 3º, da CLT e repelida pela jurisprudência sumulada do C. TST (En. 331);</w:t>
      </w:r>
    </w:p>
    <w:p>
      <w:pPr>
        <w:pStyle w:val="Normal"/>
        <w:tabs>
          <w:tab w:val="clear" w:pos="708"/>
          <w:tab w:val="left" w:pos="1724" w:leader="none"/>
        </w:tabs>
        <w:spacing w:lineRule="auto" w:line="276" w:before="119" w:after="119"/>
        <w:ind w:left="0" w:right="0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1724" w:leader="none"/>
        </w:tabs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CONSIDERANDO que os trabalhadores aliciados por cooperativas de mão-de-obra, que prestam serviços de natureza subordinada à UNIÃO embora laborem em situação fática idêntica a dos empregados das empresas prestadoras de serviços terceirizáveis, encontram-se à margem de qualquer proteção jurídico-laboral, sendo-lhes sonegada a incidência de normas protetivas do trabalho, especialmente àquelas destinadas a tutelar a segurança e higidez do trabalho subordinado, o que afronta o princípio da isonomia, a dignidade da pessoa humana e os valores sociais do trabalho (arts. 5º, caput e 1º, III e IV da Constituição Federal);</w:t>
      </w:r>
    </w:p>
    <w:p>
      <w:pPr>
        <w:pStyle w:val="Normal"/>
        <w:tabs>
          <w:tab w:val="clear" w:pos="708"/>
          <w:tab w:val="left" w:pos="1724" w:leader="none"/>
        </w:tabs>
        <w:spacing w:lineRule="auto" w:line="276" w:before="119" w:after="119"/>
        <w:ind w:left="0" w:right="0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1724" w:leader="none"/>
        </w:tabs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CONSIDERANDO que num processo de terceirização o tomador dos serviços (no caso a administração pública) tem responsabilidade sucessiva por eventuais débitos trabalhistas do fornecedor de mão-de-obra, nos termos do Enunciado 331, do TST, o que poderia gerar graves prejuízos financeiros ao erário, na hipótese de se apurar a presença dos requisitos do ARTIGO 3º, da CLT na atividade de intermediação de mão-de-obra patrocinada por falsas cooperativas;</w:t>
      </w:r>
    </w:p>
    <w:p>
      <w:pPr>
        <w:pStyle w:val="Normal"/>
        <w:tabs>
          <w:tab w:val="clear" w:pos="708"/>
          <w:tab w:val="left" w:pos="1724" w:leader="none"/>
        </w:tabs>
        <w:spacing w:lineRule="auto" w:line="276" w:before="119" w:after="119"/>
        <w:ind w:left="0" w:right="0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1724" w:leader="none"/>
        </w:tabs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CONSIDERANDO o teor da Recomendação Para a Promoção das Cooperativas aprovada na 90ª sessão, da OIT – Organização Internacional do Trabalho, em junho de 2002, dispondo que os Estados devem implementar políticas nos sentido de:</w:t>
      </w:r>
    </w:p>
    <w:p>
      <w:pPr>
        <w:pStyle w:val="Normal"/>
        <w:tabs>
          <w:tab w:val="clear" w:pos="708"/>
          <w:tab w:val="left" w:pos="1724" w:leader="none"/>
        </w:tabs>
        <w:spacing w:lineRule="auto" w:line="276" w:before="119" w:after="119"/>
        <w:ind w:left="0" w:right="0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1724" w:leader="none"/>
        </w:tabs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"8.1.b Garantir que as cooperativas não sejam criadas para, ou direcionadas a, o não cumprimento das Leis do trabalho ou usadas para estabelecer relação de emprego disfarçado, e combater pseudocooperativas que violam os direitos dos trabalhadores velando para que a Lei trabalhista seja aplicada em todas as empresas."</w:t>
      </w:r>
    </w:p>
    <w:p>
      <w:pPr>
        <w:pStyle w:val="Normal"/>
        <w:tabs>
          <w:tab w:val="clear" w:pos="708"/>
          <w:tab w:val="left" w:pos="1724" w:leader="none"/>
        </w:tabs>
        <w:spacing w:lineRule="auto" w:line="276" w:before="119" w:after="119"/>
        <w:ind w:left="0" w:right="0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1724" w:leader="none"/>
        </w:tabs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RESOLVEM:</w:t>
      </w:r>
    </w:p>
    <w:p>
      <w:pPr>
        <w:pStyle w:val="Normal"/>
        <w:tabs>
          <w:tab w:val="clear" w:pos="708"/>
          <w:tab w:val="left" w:pos="1724" w:leader="none"/>
        </w:tabs>
        <w:spacing w:lineRule="auto" w:line="276" w:before="119" w:after="119"/>
        <w:ind w:left="0" w:right="0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1724" w:leader="none"/>
        </w:tabs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Celebrar CONCILIAÇÃO nos autos do Processo 01082-2002-020-10-00-0, em tramitação perante a MM. Vigésima Vara do Trabalho de Brasília-DF, mediante os seguintes termos:</w:t>
      </w:r>
    </w:p>
    <w:p>
      <w:pPr>
        <w:pStyle w:val="Normal"/>
        <w:tabs>
          <w:tab w:val="clear" w:pos="708"/>
          <w:tab w:val="left" w:pos="1724" w:leader="none"/>
        </w:tabs>
        <w:spacing w:lineRule="auto" w:line="276" w:before="119" w:after="119"/>
        <w:ind w:left="0" w:right="0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1724" w:leader="none"/>
        </w:tabs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Cláusula Primeira - A UNIÃO abster-se-á de contratar trabalhadores, por meio de cooperativas de mão-de-obra, para a prestação de serviços ligados às suas atividades-fim ou meio, quando o labor, por sua própria natureza, demandar execução em estado de subordinação, quer em relação ao tomador, ou em relação ao fornecedor dos serviços, constituindo elemento essencial ao desenvolvimento e à prestação dos serviços terceirizados, sendo eles:</w:t>
      </w:r>
    </w:p>
    <w:p>
      <w:pPr>
        <w:pStyle w:val="Normal"/>
        <w:tabs>
          <w:tab w:val="clear" w:pos="708"/>
          <w:tab w:val="left" w:pos="1724" w:leader="none"/>
        </w:tabs>
        <w:spacing w:lineRule="auto" w:line="276" w:before="119" w:after="119"/>
        <w:ind w:left="0" w:right="0" w:hanging="0"/>
        <w:jc w:val="both"/>
        <w:rPr>
          <w:rFonts w:ascii="Arial" w:hAnsi="Arial" w:eastAsia="Arial" w:cs="Arial"/>
          <w:b w:val="false"/>
          <w:bCs w:val="false"/>
          <w:sz w:val="20"/>
          <w:szCs w:val="20"/>
        </w:rPr>
      </w:pPr>
      <w:r>
        <w:rPr>
          <w:rFonts w:eastAsia="Arial" w:cs="Arial" w:ascii="Arial" w:hAnsi="Arial"/>
          <w:b w:val="false"/>
          <w:bCs w:val="false"/>
          <w:sz w:val="20"/>
          <w:szCs w:val="20"/>
        </w:rPr>
      </w:r>
    </w:p>
    <w:p>
      <w:pPr>
        <w:pStyle w:val="Normal"/>
        <w:spacing w:lineRule="auto" w:line="276" w:before="119" w:after="119"/>
        <w:ind w:left="0" w:right="0" w:hanging="0"/>
        <w:jc w:val="both"/>
        <w:rPr/>
      </w:pPr>
      <w:r>
        <w:rPr>
          <w:rStyle w:val="Fontepargpadro"/>
          <w:rFonts w:eastAsia="Arial" w:cs="Arial" w:ascii="Arial" w:hAnsi="Arial"/>
          <w:b w:val="false"/>
          <w:bCs w:val="false"/>
          <w:sz w:val="20"/>
          <w:szCs w:val="20"/>
        </w:rPr>
        <w:t xml:space="preserve">a) – </w:t>
      </w:r>
      <w:r>
        <w:rPr>
          <w:rFonts w:ascii="Arial" w:hAnsi="Arial"/>
          <w:b w:val="false"/>
          <w:bCs w:val="false"/>
          <w:sz w:val="20"/>
          <w:szCs w:val="20"/>
        </w:rPr>
        <w:tab/>
      </w:r>
      <w:r>
        <w:rPr>
          <w:rStyle w:val="Fontepargpadro"/>
          <w:rFonts w:eastAsia="Arial" w:cs="Arial" w:ascii="Arial" w:hAnsi="Arial"/>
          <w:b w:val="false"/>
          <w:bCs w:val="false"/>
          <w:sz w:val="20"/>
          <w:szCs w:val="20"/>
        </w:rPr>
        <w:t>Serviços de limpeza;</w:t>
      </w:r>
    </w:p>
    <w:p>
      <w:pPr>
        <w:pStyle w:val="Normal"/>
        <w:spacing w:lineRule="auto" w:line="276" w:before="119" w:after="119"/>
        <w:ind w:left="0" w:right="0" w:hanging="0"/>
        <w:jc w:val="both"/>
        <w:rPr/>
      </w:pPr>
      <w:r>
        <w:rPr>
          <w:rStyle w:val="Fontepargpadro"/>
          <w:rFonts w:eastAsia="Arial" w:cs="Arial" w:ascii="Arial" w:hAnsi="Arial"/>
          <w:b w:val="false"/>
          <w:bCs w:val="false"/>
          <w:sz w:val="20"/>
          <w:szCs w:val="20"/>
        </w:rPr>
        <w:t xml:space="preserve">b) – </w:t>
      </w:r>
      <w:r>
        <w:rPr>
          <w:rFonts w:ascii="Arial" w:hAnsi="Arial"/>
          <w:b w:val="false"/>
          <w:bCs w:val="false"/>
          <w:sz w:val="20"/>
          <w:szCs w:val="20"/>
        </w:rPr>
        <w:tab/>
      </w:r>
      <w:r>
        <w:rPr>
          <w:rStyle w:val="Fontepargpadro"/>
          <w:rFonts w:eastAsia="Arial" w:cs="Arial" w:ascii="Arial" w:hAnsi="Arial"/>
          <w:b w:val="false"/>
          <w:bCs w:val="false"/>
          <w:sz w:val="20"/>
          <w:szCs w:val="20"/>
        </w:rPr>
        <w:t>Serviços de conservação;</w:t>
      </w:r>
    </w:p>
    <w:p>
      <w:pPr>
        <w:pStyle w:val="Normal"/>
        <w:spacing w:lineRule="auto" w:line="276" w:before="119" w:after="119"/>
        <w:ind w:left="0" w:right="0" w:hanging="0"/>
        <w:jc w:val="both"/>
        <w:rPr/>
      </w:pPr>
      <w:r>
        <w:rPr>
          <w:rStyle w:val="Fontepargpadro"/>
          <w:rFonts w:eastAsia="Arial" w:cs="Arial" w:ascii="Arial" w:hAnsi="Arial"/>
          <w:sz w:val="20"/>
          <w:szCs w:val="20"/>
        </w:rPr>
        <w:t xml:space="preserve">c) – </w:t>
      </w:r>
      <w:r>
        <w:rPr>
          <w:rFonts w:ascii="Arial" w:hAnsi="Arial"/>
          <w:sz w:val="20"/>
          <w:szCs w:val="20"/>
        </w:rPr>
        <w:tab/>
      </w:r>
      <w:r>
        <w:rPr>
          <w:rStyle w:val="Fontepargpadro"/>
          <w:rFonts w:eastAsia="Arial" w:cs="Arial" w:ascii="Arial" w:hAnsi="Arial"/>
          <w:sz w:val="20"/>
          <w:szCs w:val="20"/>
        </w:rPr>
        <w:t>Serviços de segurança, de vigilância e de portaria;</w:t>
      </w:r>
    </w:p>
    <w:p>
      <w:pPr>
        <w:pStyle w:val="Normal"/>
        <w:spacing w:lineRule="auto" w:line="276" w:before="119" w:after="119"/>
        <w:ind w:left="0" w:right="0" w:hanging="0"/>
        <w:jc w:val="both"/>
        <w:rPr/>
      </w:pPr>
      <w:r>
        <w:rPr>
          <w:rStyle w:val="Fontepargpadro"/>
          <w:rFonts w:eastAsia="Arial" w:cs="Arial" w:ascii="Arial" w:hAnsi="Arial"/>
          <w:sz w:val="20"/>
          <w:szCs w:val="20"/>
        </w:rPr>
        <w:t xml:space="preserve">d) – </w:t>
      </w:r>
      <w:r>
        <w:rPr>
          <w:rFonts w:ascii="Arial" w:hAnsi="Arial"/>
          <w:sz w:val="20"/>
          <w:szCs w:val="20"/>
        </w:rPr>
        <w:tab/>
      </w:r>
      <w:r>
        <w:rPr>
          <w:rStyle w:val="Fontepargpadro"/>
          <w:rFonts w:eastAsia="Arial" w:cs="Arial" w:ascii="Arial" w:hAnsi="Arial"/>
          <w:sz w:val="20"/>
          <w:szCs w:val="20"/>
        </w:rPr>
        <w:t>Serviços de recepção;</w:t>
      </w:r>
    </w:p>
    <w:p>
      <w:pPr>
        <w:pStyle w:val="Normal"/>
        <w:spacing w:lineRule="auto" w:line="276" w:before="119" w:after="119"/>
        <w:ind w:left="0" w:right="0" w:hanging="0"/>
        <w:jc w:val="both"/>
        <w:rPr/>
      </w:pPr>
      <w:r>
        <w:rPr>
          <w:rStyle w:val="Fontepargpadro"/>
          <w:rFonts w:eastAsia="Arial" w:cs="Arial" w:ascii="Arial" w:hAnsi="Arial"/>
          <w:sz w:val="20"/>
          <w:szCs w:val="20"/>
        </w:rPr>
        <w:t xml:space="preserve">e) – </w:t>
      </w:r>
      <w:r>
        <w:rPr>
          <w:rFonts w:ascii="Arial" w:hAnsi="Arial"/>
          <w:sz w:val="20"/>
          <w:szCs w:val="20"/>
        </w:rPr>
        <w:tab/>
      </w:r>
      <w:r>
        <w:rPr>
          <w:rStyle w:val="Fontepargpadro"/>
          <w:rFonts w:eastAsia="Arial" w:cs="Arial" w:ascii="Arial" w:hAnsi="Arial"/>
          <w:sz w:val="20"/>
          <w:szCs w:val="20"/>
        </w:rPr>
        <w:t>Serviços de copeiragem;</w:t>
      </w:r>
    </w:p>
    <w:p>
      <w:pPr>
        <w:pStyle w:val="Normal"/>
        <w:spacing w:lineRule="auto" w:line="276" w:before="119" w:after="119"/>
        <w:ind w:left="0" w:right="0" w:hanging="0"/>
        <w:jc w:val="both"/>
        <w:rPr/>
      </w:pPr>
      <w:r>
        <w:rPr>
          <w:rStyle w:val="Fontepargpadro"/>
          <w:rFonts w:eastAsia="Arial" w:cs="Arial" w:ascii="Arial" w:hAnsi="Arial"/>
          <w:sz w:val="20"/>
          <w:szCs w:val="20"/>
        </w:rPr>
        <w:t xml:space="preserve">f) – </w:t>
      </w:r>
      <w:r>
        <w:rPr>
          <w:rFonts w:ascii="Arial" w:hAnsi="Arial"/>
          <w:sz w:val="20"/>
          <w:szCs w:val="20"/>
        </w:rPr>
        <w:tab/>
      </w:r>
      <w:r>
        <w:rPr>
          <w:rStyle w:val="Fontepargpadro"/>
          <w:rFonts w:eastAsia="Arial" w:cs="Arial" w:ascii="Arial" w:hAnsi="Arial"/>
          <w:sz w:val="20"/>
          <w:szCs w:val="20"/>
        </w:rPr>
        <w:t>Serviços de reprografia;</w:t>
      </w:r>
    </w:p>
    <w:p>
      <w:pPr>
        <w:pStyle w:val="Normal"/>
        <w:spacing w:lineRule="auto" w:line="276" w:before="119" w:after="119"/>
        <w:ind w:left="0" w:right="0" w:hanging="0"/>
        <w:jc w:val="both"/>
        <w:rPr/>
      </w:pPr>
      <w:r>
        <w:rPr>
          <w:rStyle w:val="Fontepargpadro"/>
          <w:rFonts w:eastAsia="Arial" w:cs="Arial" w:ascii="Arial" w:hAnsi="Arial"/>
          <w:sz w:val="20"/>
          <w:szCs w:val="20"/>
        </w:rPr>
        <w:t xml:space="preserve">g) – </w:t>
      </w:r>
      <w:r>
        <w:rPr>
          <w:rFonts w:ascii="Arial" w:hAnsi="Arial"/>
          <w:sz w:val="20"/>
          <w:szCs w:val="20"/>
        </w:rPr>
        <w:tab/>
      </w:r>
      <w:r>
        <w:rPr>
          <w:rStyle w:val="Fontepargpadro"/>
          <w:rFonts w:eastAsia="Arial" w:cs="Arial" w:ascii="Arial" w:hAnsi="Arial"/>
          <w:sz w:val="20"/>
          <w:szCs w:val="20"/>
        </w:rPr>
        <w:t>Serviços de telefonia;</w:t>
      </w:r>
    </w:p>
    <w:p>
      <w:pPr>
        <w:pStyle w:val="Normal"/>
        <w:spacing w:lineRule="auto" w:line="276" w:before="119" w:after="119"/>
        <w:ind w:left="0" w:right="0" w:hanging="0"/>
        <w:jc w:val="both"/>
        <w:rPr/>
      </w:pPr>
      <w:r>
        <w:rPr>
          <w:rStyle w:val="Fontepargpadro"/>
          <w:rFonts w:eastAsia="Arial" w:cs="Arial" w:ascii="Arial" w:hAnsi="Arial"/>
          <w:sz w:val="20"/>
          <w:szCs w:val="20"/>
        </w:rPr>
        <w:t xml:space="preserve">h) – </w:t>
      </w:r>
      <w:r>
        <w:rPr>
          <w:rFonts w:ascii="Arial" w:hAnsi="Arial"/>
          <w:sz w:val="20"/>
          <w:szCs w:val="20"/>
        </w:rPr>
        <w:tab/>
      </w:r>
      <w:r>
        <w:rPr>
          <w:rStyle w:val="Fontepargpadro"/>
          <w:rFonts w:eastAsia="Arial" w:cs="Arial" w:ascii="Arial" w:hAnsi="Arial"/>
          <w:sz w:val="20"/>
          <w:szCs w:val="20"/>
        </w:rPr>
        <w:t>Serviços de manutenção de prédios, de equipamentos, de veículos e de instalações;</w:t>
      </w:r>
    </w:p>
    <w:p>
      <w:pPr>
        <w:pStyle w:val="Normal"/>
        <w:spacing w:lineRule="auto" w:line="276" w:before="119" w:after="119"/>
        <w:ind w:left="0" w:right="0" w:hanging="0"/>
        <w:jc w:val="both"/>
        <w:rPr/>
      </w:pPr>
      <w:r>
        <w:rPr>
          <w:rStyle w:val="Fontepargpadro"/>
          <w:rFonts w:eastAsia="Arial" w:cs="Arial" w:ascii="Arial" w:hAnsi="Arial"/>
          <w:sz w:val="20"/>
          <w:szCs w:val="20"/>
        </w:rPr>
        <w:t xml:space="preserve">i) – </w:t>
      </w:r>
      <w:r>
        <w:rPr>
          <w:rFonts w:ascii="Arial" w:hAnsi="Arial"/>
          <w:sz w:val="20"/>
          <w:szCs w:val="20"/>
        </w:rPr>
        <w:tab/>
      </w:r>
      <w:r>
        <w:rPr>
          <w:rStyle w:val="Fontepargpadro"/>
          <w:rFonts w:eastAsia="Arial" w:cs="Arial" w:ascii="Arial" w:hAnsi="Arial"/>
          <w:sz w:val="20"/>
          <w:szCs w:val="20"/>
        </w:rPr>
        <w:t>Serviços de secretariado e secretariado executivo;</w:t>
      </w:r>
    </w:p>
    <w:p>
      <w:pPr>
        <w:pStyle w:val="Normal"/>
        <w:spacing w:lineRule="auto" w:line="276" w:before="119" w:after="119"/>
        <w:ind w:left="0" w:right="0" w:hanging="0"/>
        <w:jc w:val="both"/>
        <w:rPr/>
      </w:pPr>
      <w:r>
        <w:rPr>
          <w:rStyle w:val="Fontepargpadro"/>
          <w:rFonts w:eastAsia="Arial" w:cs="Arial" w:ascii="Arial" w:hAnsi="Arial"/>
          <w:sz w:val="20"/>
          <w:szCs w:val="20"/>
        </w:rPr>
        <w:t xml:space="preserve">j) – </w:t>
      </w:r>
      <w:r>
        <w:rPr>
          <w:rFonts w:ascii="Arial" w:hAnsi="Arial"/>
          <w:sz w:val="20"/>
          <w:szCs w:val="20"/>
        </w:rPr>
        <w:tab/>
      </w:r>
      <w:r>
        <w:rPr>
          <w:rStyle w:val="Fontepargpadro"/>
          <w:rFonts w:eastAsia="Arial" w:cs="Arial" w:ascii="Arial" w:hAnsi="Arial"/>
          <w:sz w:val="20"/>
          <w:szCs w:val="20"/>
        </w:rPr>
        <w:t>Serviços de auxiliar de escritório;</w:t>
      </w:r>
    </w:p>
    <w:p>
      <w:pPr>
        <w:pStyle w:val="Normal"/>
        <w:spacing w:lineRule="auto" w:line="276" w:before="119" w:after="119"/>
        <w:ind w:left="0" w:right="0" w:hanging="0"/>
        <w:jc w:val="both"/>
        <w:rPr/>
      </w:pPr>
      <w:r>
        <w:rPr>
          <w:rStyle w:val="Fontepargpadro"/>
          <w:rFonts w:eastAsia="Arial" w:cs="Arial" w:ascii="Arial" w:hAnsi="Arial"/>
          <w:sz w:val="20"/>
          <w:szCs w:val="20"/>
        </w:rPr>
        <w:t xml:space="preserve">k) – </w:t>
      </w:r>
      <w:r>
        <w:rPr>
          <w:rFonts w:ascii="Arial" w:hAnsi="Arial"/>
          <w:sz w:val="20"/>
          <w:szCs w:val="20"/>
        </w:rPr>
        <w:tab/>
      </w:r>
      <w:r>
        <w:rPr>
          <w:rStyle w:val="Fontepargpadro"/>
          <w:rFonts w:eastAsia="Arial" w:cs="Arial" w:ascii="Arial" w:hAnsi="Arial"/>
          <w:sz w:val="20"/>
          <w:szCs w:val="20"/>
        </w:rPr>
        <w:t>Serviços de auxiliar administrativo;</w:t>
      </w:r>
    </w:p>
    <w:p>
      <w:pPr>
        <w:pStyle w:val="Normal"/>
        <w:spacing w:lineRule="auto" w:line="276" w:before="119" w:after="119"/>
        <w:ind w:left="0" w:right="0" w:hanging="0"/>
        <w:jc w:val="both"/>
        <w:rPr/>
      </w:pPr>
      <w:r>
        <w:rPr>
          <w:rStyle w:val="Fontepargpadro"/>
          <w:rFonts w:eastAsia="Arial" w:cs="Arial" w:ascii="Arial" w:hAnsi="Arial"/>
          <w:sz w:val="20"/>
          <w:szCs w:val="20"/>
        </w:rPr>
        <w:t xml:space="preserve">l) – </w:t>
      </w:r>
      <w:r>
        <w:rPr>
          <w:rFonts w:ascii="Arial" w:hAnsi="Arial"/>
          <w:sz w:val="20"/>
          <w:szCs w:val="20"/>
        </w:rPr>
        <w:tab/>
      </w:r>
      <w:r>
        <w:rPr>
          <w:rStyle w:val="Fontepargpadro"/>
          <w:rFonts w:eastAsia="Arial" w:cs="Arial" w:ascii="Arial" w:hAnsi="Arial"/>
          <w:sz w:val="20"/>
          <w:szCs w:val="20"/>
        </w:rPr>
        <w:t>Serviços de office boy (contínuo);</w:t>
      </w:r>
    </w:p>
    <w:p>
      <w:pPr>
        <w:pStyle w:val="Normal"/>
        <w:spacing w:lineRule="auto" w:line="276" w:before="119" w:after="119"/>
        <w:ind w:left="0" w:right="0" w:hanging="0"/>
        <w:jc w:val="both"/>
        <w:rPr/>
      </w:pPr>
      <w:r>
        <w:rPr>
          <w:rStyle w:val="Fontepargpadro"/>
          <w:rFonts w:eastAsia="Arial" w:cs="Arial" w:ascii="Arial" w:hAnsi="Arial"/>
          <w:sz w:val="20"/>
          <w:szCs w:val="20"/>
        </w:rPr>
        <w:t xml:space="preserve">m) – </w:t>
      </w:r>
      <w:r>
        <w:rPr>
          <w:rFonts w:ascii="Arial" w:hAnsi="Arial"/>
          <w:sz w:val="20"/>
          <w:szCs w:val="20"/>
        </w:rPr>
        <w:tab/>
      </w:r>
      <w:r>
        <w:rPr>
          <w:rStyle w:val="Fontepargpadro"/>
          <w:rFonts w:eastAsia="Arial" w:cs="Arial" w:ascii="Arial" w:hAnsi="Arial"/>
          <w:sz w:val="20"/>
          <w:szCs w:val="20"/>
        </w:rPr>
        <w:t>Serviços de digitação;</w:t>
      </w:r>
    </w:p>
    <w:p>
      <w:pPr>
        <w:pStyle w:val="Normal"/>
        <w:spacing w:lineRule="auto" w:line="276" w:before="119" w:after="119"/>
        <w:ind w:left="0" w:right="0" w:hanging="0"/>
        <w:jc w:val="both"/>
        <w:rPr/>
      </w:pPr>
      <w:r>
        <w:rPr>
          <w:rStyle w:val="Fontepargpadro"/>
          <w:rFonts w:eastAsia="Arial" w:cs="Arial" w:ascii="Arial" w:hAnsi="Arial"/>
          <w:sz w:val="20"/>
          <w:szCs w:val="20"/>
        </w:rPr>
        <w:t xml:space="preserve">n) – </w:t>
      </w:r>
      <w:r>
        <w:rPr>
          <w:rFonts w:ascii="Arial" w:hAnsi="Arial"/>
          <w:sz w:val="20"/>
          <w:szCs w:val="20"/>
        </w:rPr>
        <w:tab/>
      </w:r>
      <w:r>
        <w:rPr>
          <w:rStyle w:val="Fontepargpadro"/>
          <w:rFonts w:eastAsia="Arial" w:cs="Arial" w:ascii="Arial" w:hAnsi="Arial"/>
          <w:sz w:val="20"/>
          <w:szCs w:val="20"/>
        </w:rPr>
        <w:t>Serviços de assessoria de imprensa e de relações públicas;</w:t>
      </w:r>
    </w:p>
    <w:p>
      <w:pPr>
        <w:pStyle w:val="Normal"/>
        <w:spacing w:lineRule="auto" w:line="276" w:before="119" w:after="119"/>
        <w:ind w:left="0" w:right="0" w:hanging="0"/>
        <w:jc w:val="both"/>
        <w:rPr/>
      </w:pPr>
      <w:r>
        <w:rPr>
          <w:rStyle w:val="Fontepargpadro"/>
          <w:rFonts w:eastAsia="Arial" w:cs="Arial" w:ascii="Arial" w:hAnsi="Arial"/>
          <w:sz w:val="20"/>
          <w:szCs w:val="20"/>
        </w:rPr>
        <w:t>o) –</w:t>
      </w:r>
      <w:r>
        <w:rPr>
          <w:rFonts w:ascii="Arial" w:hAnsi="Arial"/>
          <w:sz w:val="20"/>
          <w:szCs w:val="20"/>
        </w:rPr>
        <w:tab/>
      </w:r>
      <w:r>
        <w:rPr>
          <w:rStyle w:val="Fontepargpadro"/>
          <w:rFonts w:eastAsia="Arial" w:cs="Arial" w:ascii="Arial" w:hAnsi="Arial"/>
          <w:sz w:val="20"/>
          <w:szCs w:val="20"/>
        </w:rPr>
        <w:t>Serviços de motorista, no caso de os veículos serem fornecidos pelo próprio órgão licitante;</w:t>
      </w:r>
    </w:p>
    <w:p>
      <w:pPr>
        <w:pStyle w:val="Normal"/>
        <w:spacing w:lineRule="auto" w:line="276" w:before="119" w:after="119"/>
        <w:ind w:left="0" w:right="0" w:hanging="0"/>
        <w:jc w:val="both"/>
        <w:rPr/>
      </w:pPr>
      <w:r>
        <w:rPr>
          <w:rStyle w:val="Fontepargpadro"/>
          <w:rFonts w:eastAsia="Arial" w:cs="Arial" w:ascii="Arial" w:hAnsi="Arial"/>
          <w:sz w:val="20"/>
          <w:szCs w:val="20"/>
        </w:rPr>
        <w:t xml:space="preserve">p) – </w:t>
      </w:r>
      <w:r>
        <w:rPr>
          <w:rFonts w:ascii="Arial" w:hAnsi="Arial"/>
          <w:sz w:val="20"/>
          <w:szCs w:val="20"/>
        </w:rPr>
        <w:tab/>
      </w:r>
      <w:r>
        <w:rPr>
          <w:rStyle w:val="Fontepargpadro"/>
          <w:rFonts w:eastAsia="Arial" w:cs="Arial" w:ascii="Arial" w:hAnsi="Arial"/>
          <w:sz w:val="20"/>
          <w:szCs w:val="20"/>
        </w:rPr>
        <w:t>Serviços de ascensorista;</w:t>
      </w:r>
    </w:p>
    <w:p>
      <w:pPr>
        <w:pStyle w:val="Normal"/>
        <w:spacing w:lineRule="auto" w:line="276" w:before="119" w:after="119"/>
        <w:ind w:left="0" w:right="0" w:hanging="0"/>
        <w:jc w:val="both"/>
        <w:rPr/>
      </w:pPr>
      <w:r>
        <w:rPr>
          <w:rStyle w:val="Fontepargpadro"/>
          <w:rFonts w:eastAsia="Arial" w:cs="Arial" w:ascii="Arial" w:hAnsi="Arial"/>
          <w:sz w:val="20"/>
          <w:szCs w:val="20"/>
        </w:rPr>
        <w:t xml:space="preserve">q) – </w:t>
      </w:r>
      <w:r>
        <w:rPr>
          <w:rFonts w:ascii="Arial" w:hAnsi="Arial"/>
          <w:sz w:val="20"/>
          <w:szCs w:val="20"/>
        </w:rPr>
        <w:tab/>
      </w:r>
      <w:r>
        <w:rPr>
          <w:rStyle w:val="Fontepargpadro"/>
          <w:rFonts w:eastAsia="Arial" w:cs="Arial" w:ascii="Arial" w:hAnsi="Arial"/>
          <w:sz w:val="20"/>
          <w:szCs w:val="20"/>
        </w:rPr>
        <w:t>Serviços de enfermagem; e</w:t>
      </w:r>
    </w:p>
    <w:p>
      <w:pPr>
        <w:pStyle w:val="Normal"/>
        <w:spacing w:lineRule="auto" w:line="276" w:before="119" w:after="119"/>
        <w:ind w:left="0" w:right="0" w:hanging="0"/>
        <w:jc w:val="both"/>
        <w:rPr/>
      </w:pPr>
      <w:r>
        <w:rPr>
          <w:rStyle w:val="Fontepargpadro"/>
          <w:rFonts w:eastAsia="Arial" w:cs="Arial" w:ascii="Arial" w:hAnsi="Arial"/>
          <w:sz w:val="20"/>
          <w:szCs w:val="20"/>
        </w:rPr>
        <w:t xml:space="preserve">r) – </w:t>
      </w:r>
      <w:r>
        <w:rPr>
          <w:rFonts w:ascii="Arial" w:hAnsi="Arial"/>
          <w:sz w:val="20"/>
          <w:szCs w:val="20"/>
        </w:rPr>
        <w:tab/>
      </w:r>
      <w:r>
        <w:rPr>
          <w:rStyle w:val="Fontepargpadro"/>
          <w:rFonts w:eastAsia="Arial" w:cs="Arial" w:ascii="Arial" w:hAnsi="Arial"/>
          <w:sz w:val="20"/>
          <w:szCs w:val="20"/>
        </w:rPr>
        <w:t>Serviços de agentes comunitários de saúde.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Style w:val="Fontepargpadro"/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Parágrafo Primeiro – O disposto nesta Cláusula não autoriza outras formas de terceirização sem previsão legal.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eastAsia="Arial" w:cs="Arial"/>
        </w:rPr>
      </w:pPr>
      <w:r>
        <w:rPr>
          <w:rFonts w:eastAsia="Arial" w:cs="Arial"/>
        </w:rPr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Parágrafo Segundo – As partes podem, a qualquer momento, mediante comunicação e acordos prévios, ampliar o rol de serviços elencados no caput.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eastAsia="Arial" w:cs="Arial"/>
        </w:rPr>
      </w:pPr>
      <w:r>
        <w:rPr>
          <w:rFonts w:eastAsia="Arial" w:cs="Arial"/>
        </w:rPr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Cláusula Segunda - Considera-se cooperativa de mão-de-obra, aquela associação cuja atividade precípua seja a mera intermediação individual de trabalhadores de uma ou várias profissões (inexistindo assim vínculo de solidariedade entre seus associados), que não detenham qualquer meio de produção, e cujos serviços sejam prestados a terceiros, de forma individual (e não coletiva), pelos seus associados.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eastAsia="Arial" w:cs="Arial"/>
        </w:rPr>
      </w:pPr>
      <w:r>
        <w:rPr>
          <w:rFonts w:eastAsia="Arial" w:cs="Arial"/>
        </w:rPr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Cláusula Terceira - A UNIÃO obriga-se a estabelecer regras claras nos editais de licitação, a fim de esclarecer a natureza dos serviços licitados, determinando, por conseguinte, se os mesmos podem ser prestados por empresas prestadoras de serviços (trabalhadores subordinados), cooperativas de trabalho, trabalhadores autônomos, avulsos ou eventuais;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eastAsia="Arial" w:cs="Arial"/>
        </w:rPr>
      </w:pPr>
      <w:r>
        <w:rPr>
          <w:rFonts w:eastAsia="Arial" w:cs="Arial"/>
        </w:rPr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Parágrafo Primeiro - É lícita a contratação de genuínas sociedades cooperativas desde que os serviços licitados não estejam incluídos no rol inserido nas alíneas "a" a "r" da Cláusula Primeira e sejam prestados em caráter coletivo e com absoluta autonomia dos cooperados, seja em relação às cooperativas, seja em relação ao tomador dos serviços, devendo ser juntada, na fase de habilitação, listagem contendo o nome de todos os associados. Esclarecem as partes que somente os serviços podem ser terceirizados, restando absolutamente vedado o fornecimento (intermediação de mão-de-obra) de trabalhadores a órgãos públicos por cooperativas de qualquer natureza.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eastAsia="Arial" w:cs="Arial"/>
        </w:rPr>
      </w:pPr>
      <w:r>
        <w:rPr>
          <w:rFonts w:eastAsia="Arial" w:cs="Arial"/>
        </w:rPr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Parágrafo Segundo – Os editais de licitação que se destinem a contratar os serviços disciplinados pela Cláusula Primeira deverão fazer expressa menção ao presente termo de conciliação e sua homologação, se possível transcrevendo-os na íntegra ou fazendo parte integrante desses editais, como anexo.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eastAsia="Arial" w:cs="Arial"/>
        </w:rPr>
      </w:pPr>
      <w:r>
        <w:rPr>
          <w:rFonts w:eastAsia="Arial" w:cs="Arial"/>
        </w:rPr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Parágrafo Terceiro - Para a prestação de serviços em sua forma subordinada, a licitante vencedora do certame deverá comprovar a condição de empregadora dos prestadores de serviços para as quais se objetiva a contratação, constituindo-se esse requisito, condição obrigatória à assinatura do respectivo contrato.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eastAsia="Arial" w:cs="Arial"/>
        </w:rPr>
      </w:pPr>
      <w:r>
        <w:rPr>
          <w:rFonts w:eastAsia="Arial" w:cs="Arial"/>
        </w:rPr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DAS SANÇÕES PELO DESCUMPRIMENTO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eastAsia="Arial" w:cs="Arial"/>
        </w:rPr>
      </w:pPr>
      <w:r>
        <w:rPr>
          <w:rFonts w:eastAsia="Arial" w:cs="Arial"/>
        </w:rPr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Cláusula Quarta – A UNIÃO obriga-se ao pagamento de multa (astreinte) correspondente a R$ 1.000,00 (um mil reais) por trabalhador que esteja em desacordo com as condições estabelecidas no presente Termo de Conciliação, sendo a mesma reversível ao Fundo de Amparo ao Trabalhador (FAT).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eastAsia="Arial" w:cs="Arial"/>
        </w:rPr>
      </w:pPr>
      <w:r>
        <w:rPr>
          <w:rFonts w:eastAsia="Arial" w:cs="Arial"/>
        </w:rPr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Parágrafo Primeiro – O servidor público que, em nome da Administração, firmar o contrato de prestação de serviços nas atividades relacionadas nas alíneas "a" a "r" da Cláusula Primeira, será responsável solidário por qualquer contratação irregular, respondendo pela multa prevista no caput, sem prejuízo das demais cominações legais.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Parágrafo Segundo – Em caso de notícia de descumprimento dos termos firmados neste ajuste, a UNIÃO, depois de intimada, terá prazo de 20 (vinte) dias para apresentar sua justificativa perante o Ministério Público do Trabalho.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DA EXTENSÃO DO AJUSTE À ADMINISTRAÇÃO PÚBLICA INDIRETA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WW-Corpodetexto21"/>
        <w:tabs>
          <w:tab w:val="left" w:pos="708" w:leader="none"/>
          <w:tab w:val="left" w:pos="1701" w:leader="none"/>
        </w:tabs>
        <w:suppressAutoHyphens w:val="false"/>
        <w:spacing w:lineRule="auto" w:line="276" w:before="119" w:after="119"/>
        <w:ind w:left="0" w:right="0" w:hanging="0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Cláusula Quinta – A UNIÃO se compromete a recomendar o estabelecimento das mesmas diretrizes ora pactuadas em relação às autarquias, fundações públicas, empresas públicas e sociedades de economia mista, a fim de vincular todos os órgãos integrantes da administração pública indireta ao cumprimento do presente termo de conciliação, sendo que em relação às empresas públicas e sociedades de economia mista deverá ser dado conhecimento ao Departamento de Coordenação e Controle das Empresas Estatais – DEST, do Ministério do Planejamento, Orçamento e Gestão, ou órgão equivalente, para que discipline a matéria no âmbito de sua competência.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DA HOMOLOGAÇÃO JUDICIAL DO AJUSTE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Cláusula Sexta – - As partes submetem os termos da presente conciliação à homologação do Juízo da MM. Vigésima Vara do Trabalho, para que o ajuste gere os seus efeitos jurídicos.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Cláusula Sétima - Os termos da presente avença gerarão seus efeitos jurídicos a partir da data de sua homologação judicial.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Parágrafo único – Os contratos em vigor entre a UNIÃO e as Cooperativas, que contrariem o presente acordo, não serão renovados ou prorrogados.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Cláusula Oitava - A presente conciliação extingue o processo com exame do mérito apenas em relação à UNIÃO, prosseguindo o feito quanto aos demais réus.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Dito isto, por estarem as partes ajustadas e compromissadas, firmam a presente conciliação em cinco vias, a qual terá eficácia de título judicial, nos termos dos artigos 831, parágrafo único, e 876, caput, da CLT.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Brasília, 05 de junho de 2003.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GUILHERME MASTRICHI BASSO GUIOMAR RECHIA GOMES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Procurador-Geral do Trabalho Vice-Procuradora-Geral do Trabalho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BRASILINO SANTOS RAMOS FÁBIO LEAL CARDOSO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Procurador-Chefe/PRT 10ª Região Procurador do Trabalho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MOACIR ANTONIO DA SILVA MACHADO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Procurador-Geral da União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HELIA MARIA DE OLIVEIRA BETTERO MÁRIOLUIZ GUERREIRO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Sub-Procuradora-Regional da União–1ª Região Advogado da União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Testemunhas: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GRIJALBO FERNANDES COUTINHO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Presidente da Associação Nacional dos Magistrados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da Justiça do Trabalho – ANAMATRA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PAULO SÉRGIO DOMINGUES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Presidente da Associação dos Juízes Federais do Brasil - AJUFE</w:t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76" w:before="119" w:after="119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REGINA BUTRUS</w:t>
      </w:r>
    </w:p>
    <w:p>
      <w:pPr>
        <w:pStyle w:val="Normal"/>
        <w:spacing w:lineRule="auto" w:line="276" w:before="119" w:after="119"/>
        <w:ind w:left="0" w:right="0" w:hanging="0"/>
        <w:jc w:val="both"/>
        <w:rPr/>
      </w:pPr>
      <w:r>
        <w:rPr>
          <w:rStyle w:val="Fontepargpadro"/>
          <w:rFonts w:eastAsia="Arial" w:cs="Arial" w:ascii="Arial" w:hAnsi="Arial"/>
          <w:sz w:val="20"/>
          <w:szCs w:val="20"/>
        </w:rPr>
        <w:t>Presidente da Associação Nacional dos Procuradores do Trabalho – ANPT</w:t>
      </w:r>
    </w:p>
    <w:sectPr>
      <w:type w:val="nextPage"/>
      <w:pgSz w:w="11906" w:h="16838"/>
      <w:pgMar w:left="1134" w:right="1134" w:gutter="0" w:header="0" w:top="720" w:footer="0" w:bottom="72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F"/>
        <w:sz w:val="24"/>
        <w:szCs w:val="22"/>
        <w:lang w:val="pt-BR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true"/>
      <w:keepLines w:val="false"/>
      <w:pageBreakBefore w:val="false"/>
      <w:widowControl/>
      <w:shd w:val="clear" w:fill="FFFFFF"/>
      <w:suppressAutoHyphens w:val="true"/>
      <w:overflowPunct w:val="false"/>
      <w:bidi w:val="0"/>
      <w:snapToGrid w:val="true"/>
      <w:spacing w:lineRule="auto" w:line="240" w:before="0" w:after="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4"/>
      <w:sz w:val="24"/>
      <w:szCs w:val="24"/>
      <w:u w:val="none"/>
      <w:vertAlign w:val="baseline"/>
      <w:em w:val="none"/>
      <w:lang w:val="pt-BR" w:eastAsia="ar-SA" w:bidi="ar-SA"/>
    </w:rPr>
  </w:style>
  <w:style w:type="character" w:styleId="Fontepargpadro">
    <w:name w:val="Fonte parág. padrão"/>
    <w:qFormat/>
    <w:rPr/>
  </w:style>
  <w:style w:type="character" w:styleId="CabealhoChar">
    <w:name w:val="Cabeçalho Char"/>
    <w:basedOn w:val="Fontepargpadro"/>
    <w:qFormat/>
    <w:rPr/>
  </w:style>
  <w:style w:type="character" w:styleId="RodapChar">
    <w:name w:val="Rodapé Char"/>
    <w:basedOn w:val="Fontepargpadro"/>
    <w:qFormat/>
    <w:rPr/>
  </w:style>
  <w:style w:type="paragraph" w:styleId="Ttulo">
    <w:name w:val="Título"/>
    <w:basedOn w:val="Normal"/>
    <w:next w:val="Corpodotexto"/>
    <w:qFormat/>
    <w:pPr>
      <w:keepNext w:val="true"/>
      <w:suppressAutoHyphens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uppressAutoHyphens w:val="true"/>
      <w:spacing w:lineRule="auto" w:line="288" w:before="0" w:after="140"/>
    </w:pPr>
    <w:rPr/>
  </w:style>
  <w:style w:type="paragraph" w:styleId="Lista">
    <w:name w:val="List"/>
    <w:basedOn w:val="Corpodotexto"/>
    <w:pPr>
      <w:suppressAutoHyphens w:val="true"/>
    </w:pPr>
    <w:rPr>
      <w:rFonts w:cs="Mangal"/>
    </w:rPr>
  </w:style>
  <w:style w:type="paragraph" w:styleId="Legenda">
    <w:name w:val="Caption"/>
    <w:basedOn w:val="Normal"/>
    <w:qFormat/>
    <w:pPr>
      <w:suppressLineNumbers/>
      <w:suppressAutoHyphens w:val="true"/>
      <w:spacing w:before="120" w:after="120"/>
    </w:pPr>
    <w:rPr>
      <w:rFonts w:cs="Mangal"/>
      <w:i/>
      <w:iCs/>
    </w:rPr>
  </w:style>
  <w:style w:type="paragraph" w:styleId="Ndice">
    <w:name w:val="Índice"/>
    <w:basedOn w:val="Normal"/>
    <w:qFormat/>
    <w:pPr>
      <w:suppressLineNumbers/>
      <w:suppressAutoHyphens w:val="true"/>
    </w:pPr>
    <w:rPr>
      <w:rFonts w:cs="Mangal"/>
    </w:rPr>
  </w:style>
  <w:style w:type="paragraph" w:styleId="LO-Normal">
    <w:name w:val="LO-Normal"/>
    <w:qFormat/>
    <w:pPr>
      <w:keepNext w:val="true"/>
      <w:keepLines w:val="false"/>
      <w:pageBreakBefore w:val="false"/>
      <w:widowControl w:val="false"/>
      <w:shd w:val="clear" w:fill="FFFFFF"/>
      <w:suppressAutoHyphens w:val="true"/>
      <w:overflowPunct w:val="false"/>
      <w:bidi w:val="0"/>
      <w:snapToGrid w:val="true"/>
      <w:spacing w:lineRule="auto" w:line="240" w:before="0" w:after="0"/>
      <w:jc w:val="left"/>
    </w:pPr>
    <w:rPr>
      <w:rFonts w:ascii="Calibri" w:hAnsi="Calibri" w:eastAsia="Calibri" w:cs="F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4"/>
      <w:sz w:val="24"/>
      <w:szCs w:val="22"/>
      <w:u w:val="none"/>
      <w:vertAlign w:val="baseline"/>
      <w:em w:val="none"/>
      <w:lang w:val="pt-BR" w:eastAsia="en-US" w:bidi="ar-SA"/>
    </w:rPr>
  </w:style>
  <w:style w:type="paragraph" w:styleId="WW-Corpodetexto2">
    <w:name w:val="WW-Corpo de texto 2"/>
    <w:basedOn w:val="Normal"/>
    <w:qFormat/>
    <w:pPr>
      <w:widowControl w:val="false"/>
      <w:suppressAutoHyphens w:val="true"/>
      <w:jc w:val="both"/>
    </w:pPr>
    <w:rPr/>
  </w:style>
  <w:style w:type="paragraph" w:styleId="WW-Corpodetexto31">
    <w:name w:val="WW-Corpo de texto 31"/>
    <w:basedOn w:val="Normal"/>
    <w:qFormat/>
    <w:pPr>
      <w:suppressAutoHyphens w:val="true"/>
      <w:jc w:val="both"/>
    </w:pPr>
    <w:rPr/>
  </w:style>
  <w:style w:type="paragraph" w:styleId="WW-Corpodetexto21">
    <w:name w:val="WW-Corpo de texto 21"/>
    <w:basedOn w:val="Normal"/>
    <w:qFormat/>
    <w:pPr>
      <w:tabs>
        <w:tab w:val="clear" w:pos="708"/>
        <w:tab w:val="left" w:pos="1701" w:leader="none"/>
      </w:tabs>
      <w:suppressAutoHyphens w:val="true"/>
      <w:spacing w:before="283" w:after="0"/>
      <w:jc w:val="both"/>
    </w:pPr>
    <w:rPr>
      <w:rFonts w:ascii="Arial" w:hAnsi="Arial" w:eastAsia="Arial" w:cs="Arial"/>
      <w:sz w:val="22"/>
      <w:szCs w:val="22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LO-Normal"/>
    <w:pPr>
      <w:tabs>
        <w:tab w:val="clear" w:pos="708"/>
        <w:tab w:val="center" w:pos="4680" w:leader="none"/>
        <w:tab w:val="right" w:pos="9360" w:leader="none"/>
      </w:tabs>
      <w:suppressAutoHyphens w:val="true"/>
    </w:pPr>
    <w:rPr/>
  </w:style>
  <w:style w:type="paragraph" w:styleId="Rodap">
    <w:name w:val="Footer"/>
    <w:basedOn w:val="LO-Normal"/>
    <w:pPr>
      <w:tabs>
        <w:tab w:val="clear" w:pos="708"/>
        <w:tab w:val="center" w:pos="4680" w:leader="none"/>
        <w:tab w:val="right" w:pos="9360" w:leader="none"/>
      </w:tabs>
      <w:suppressAutoHyphens w:val="true"/>
    </w:pPr>
    <w:rPr/>
  </w:style>
  <w:style w:type="paragraph" w:styleId="Contedodatabela">
    <w:name w:val="Conteúdo da tabela"/>
    <w:basedOn w:val="Normal"/>
    <w:qFormat/>
    <w:pPr>
      <w:suppressLineNumbers/>
    </w:pPr>
    <w:rPr/>
  </w:style>
  <w:style w:type="numbering" w:styleId="NoList0">
    <w:name w:val="No List0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customXml" Target="../customXml/item1.xml"/><Relationship Id="rId5" Type="http://schemas.openxmlformats.org/officeDocument/2006/relationships/customXml" Target="../customXml/item2.xml"/>
</Relationships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70ABEA7A2A1949B2F8190BE8038081" ma:contentTypeVersion="18" ma:contentTypeDescription="Crie um novo documento." ma:contentTypeScope="" ma:versionID="81c454fe60425f4da997a13afca7736c">
  <xsd:schema xmlns:xsd="http://www.w3.org/2001/XMLSchema" xmlns:xs="http://www.w3.org/2001/XMLSchema" xmlns:p="http://schemas.microsoft.com/office/2006/metadata/properties" xmlns:ns2="4dd17150-3e7d-454f-81dd-1ae6b9361446" xmlns:ns3="31915563-1e63-410d-974b-28645d502fc9" xmlns:ns4="1c343fe7-d293-48f8-95a0-508e3568d6db" targetNamespace="http://schemas.microsoft.com/office/2006/metadata/properties" ma:root="true" ma:fieldsID="c80c8c407f800aa04e7327ed4aa4512c" ns2:_="" ns3:_="" ns4:_="">
    <xsd:import namespace="4dd17150-3e7d-454f-81dd-1ae6b9361446"/>
    <xsd:import namespace="31915563-1e63-410d-974b-28645d502fc9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17150-3e7d-454f-81dd-1ae6b93614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915563-1e63-410d-974b-28645d502fc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d3cb0c1-94e0-4047-bd8f-10d12f1fd94f}" ma:internalName="TaxCatchAll" ma:showField="CatchAllData" ma:web="31915563-1e63-410d-974b-28645d502f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41815B-E468-4200-863B-2295C97036F5}"/>
</file>

<file path=customXml/itemProps2.xml><?xml version="1.0" encoding="utf-8"?>
<ds:datastoreItem xmlns:ds="http://schemas.openxmlformats.org/officeDocument/2006/customXml" ds:itemID="{9D8DD45D-7C99-4F27-8307-D06C6C484776}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LibreOffice/7.5.9.2$Windows_X86_64 LibreOffice_project/cdeefe45c17511d326101eed8008ac4092f278a9</Application>
  <AppVersion>15.0000</AppVersion>
  <Pages>5</Pages>
  <Words>1529</Words>
  <Characters>8979</Characters>
  <CharactersWithSpaces>10486</CharactersWithSpaces>
  <Paragraphs>69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2022-05-13T18:43:00Z</dcterms:created>
  <dc:creator>UFSC</dc:creator>
  <dc:description/>
  <dc:language>pt-BR</dc:language>
  <cp:lastModifiedBy/>
  <dcterms:modified xsi:type="dcterms:W3CDTF">2024-04-29T08:38:01Z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